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ABCA" w14:textId="308CAA58" w:rsidR="00735240" w:rsidRPr="000F3F22" w:rsidRDefault="000F3F22">
      <w:pPr>
        <w:rPr>
          <w:b/>
          <w:bCs/>
          <w:sz w:val="32"/>
          <w:szCs w:val="32"/>
        </w:rPr>
      </w:pPr>
      <w:r w:rsidRPr="000F3F22">
        <w:rPr>
          <w:b/>
          <w:bCs/>
          <w:sz w:val="32"/>
          <w:szCs w:val="32"/>
        </w:rPr>
        <w:t xml:space="preserve">Tips when switching alternative DOACs to </w:t>
      </w:r>
      <w:proofErr w:type="spellStart"/>
      <w:r w:rsidRPr="000F3F22">
        <w:rPr>
          <w:b/>
          <w:bCs/>
          <w:sz w:val="32"/>
          <w:szCs w:val="32"/>
        </w:rPr>
        <w:t>Edoxaban</w:t>
      </w:r>
      <w:proofErr w:type="spellEnd"/>
    </w:p>
    <w:p w14:paraId="7255FDF0" w14:textId="77777777" w:rsidR="000F3F22" w:rsidRPr="000F3F22" w:rsidRDefault="000F3F22" w:rsidP="000F3F22">
      <w:pPr>
        <w:numPr>
          <w:ilvl w:val="0"/>
          <w:numId w:val="1"/>
        </w:numPr>
        <w:jc w:val="both"/>
      </w:pPr>
      <w:r w:rsidRPr="000F3F22">
        <w:t xml:space="preserve">Be familiar with all the documents in the resource pack. </w:t>
      </w:r>
    </w:p>
    <w:p w14:paraId="67FBCBC8" w14:textId="77777777" w:rsidR="000F3F22" w:rsidRPr="000F3F22" w:rsidRDefault="000F3F22" w:rsidP="000F3F22">
      <w:pPr>
        <w:numPr>
          <w:ilvl w:val="0"/>
          <w:numId w:val="1"/>
        </w:numPr>
        <w:jc w:val="both"/>
      </w:pPr>
      <w:r w:rsidRPr="000F3F22">
        <w:t xml:space="preserve">Prior to switching, liaise with the local community pharmacy to ensure they have an adequate supply of </w:t>
      </w:r>
      <w:proofErr w:type="spellStart"/>
      <w:r w:rsidRPr="000F3F22">
        <w:t>Edoxaban</w:t>
      </w:r>
      <w:proofErr w:type="spellEnd"/>
      <w:r w:rsidRPr="000F3F22">
        <w:t>.</w:t>
      </w:r>
    </w:p>
    <w:p w14:paraId="41C5B191" w14:textId="77777777" w:rsidR="000F3F22" w:rsidRPr="000F3F22" w:rsidRDefault="000F3F22" w:rsidP="000F3F22">
      <w:pPr>
        <w:numPr>
          <w:ilvl w:val="0"/>
          <w:numId w:val="1"/>
        </w:numPr>
        <w:jc w:val="both"/>
      </w:pPr>
      <w:r w:rsidRPr="000F3F22">
        <w:t>Patient-centred clinical decision</w:t>
      </w:r>
    </w:p>
    <w:p w14:paraId="5839CF75" w14:textId="77777777" w:rsidR="000F3F22" w:rsidRPr="000F3F22" w:rsidRDefault="000F3F22" w:rsidP="000F3F22">
      <w:pPr>
        <w:numPr>
          <w:ilvl w:val="1"/>
          <w:numId w:val="3"/>
        </w:numPr>
        <w:tabs>
          <w:tab w:val="clear" w:pos="1440"/>
        </w:tabs>
        <w:jc w:val="both"/>
      </w:pPr>
      <w:r w:rsidRPr="000F3F22">
        <w:t xml:space="preserve">GPs, pharmacists, or prescribers are responsible for making the clinical decision whether the DOAC switch to </w:t>
      </w:r>
      <w:proofErr w:type="spellStart"/>
      <w:r w:rsidRPr="000F3F22">
        <w:t>Edoxaban</w:t>
      </w:r>
      <w:proofErr w:type="spellEnd"/>
      <w:r w:rsidRPr="000F3F22">
        <w:t xml:space="preserve"> is appropriate for each individual patient. </w:t>
      </w:r>
    </w:p>
    <w:p w14:paraId="3CD895CB" w14:textId="77777777" w:rsidR="000F3F22" w:rsidRPr="000F3F22" w:rsidRDefault="000F3F22" w:rsidP="000F3F22">
      <w:pPr>
        <w:numPr>
          <w:ilvl w:val="1"/>
          <w:numId w:val="3"/>
        </w:numPr>
        <w:tabs>
          <w:tab w:val="clear" w:pos="1440"/>
        </w:tabs>
        <w:jc w:val="both"/>
      </w:pPr>
      <w:r w:rsidRPr="000F3F22">
        <w:t xml:space="preserve">Consultations should </w:t>
      </w:r>
      <w:proofErr w:type="gramStart"/>
      <w:r w:rsidRPr="000F3F22">
        <w:t>completed</w:t>
      </w:r>
      <w:proofErr w:type="gramEnd"/>
      <w:r w:rsidRPr="000F3F22">
        <w:t xml:space="preserve"> alongside the patient, either face to face or via telephone call if appropriate</w:t>
      </w:r>
    </w:p>
    <w:p w14:paraId="5BF761DD" w14:textId="77777777" w:rsidR="000F3F22" w:rsidRPr="000F3F22" w:rsidRDefault="000F3F22" w:rsidP="000F3F22">
      <w:pPr>
        <w:numPr>
          <w:ilvl w:val="1"/>
          <w:numId w:val="3"/>
        </w:numPr>
        <w:tabs>
          <w:tab w:val="clear" w:pos="1440"/>
        </w:tabs>
        <w:jc w:val="both"/>
      </w:pPr>
      <w:r w:rsidRPr="000F3F22">
        <w:t xml:space="preserve">As anticoagulants are high risk drugs, it is </w:t>
      </w:r>
      <w:r w:rsidRPr="000F3F22">
        <w:rPr>
          <w:b/>
          <w:bCs/>
        </w:rPr>
        <w:t xml:space="preserve">not </w:t>
      </w:r>
      <w:r w:rsidRPr="000F3F22">
        <w:t>appropriate to complete the switch without speaking to the patient.</w:t>
      </w:r>
    </w:p>
    <w:p w14:paraId="3C724250" w14:textId="77777777" w:rsidR="000F3F22" w:rsidRPr="000F3F22" w:rsidRDefault="000F3F22" w:rsidP="000F3F22">
      <w:pPr>
        <w:numPr>
          <w:ilvl w:val="0"/>
          <w:numId w:val="1"/>
        </w:numPr>
        <w:jc w:val="both"/>
      </w:pPr>
      <w:r w:rsidRPr="000F3F22">
        <w:t xml:space="preserve">Ensure up to date bloods (U&amp;Es, FBC, LFTs), BP and weight are completed in the preceding 3 months to ensure </w:t>
      </w:r>
      <w:proofErr w:type="spellStart"/>
      <w:r w:rsidRPr="000F3F22">
        <w:t>CrCl</w:t>
      </w:r>
      <w:proofErr w:type="spellEnd"/>
      <w:r w:rsidRPr="000F3F22">
        <w:t xml:space="preserve">, CHA2DS2-VASc and ORBIT/HAS-BLED scores can be calculated accurately. </w:t>
      </w:r>
    </w:p>
    <w:p w14:paraId="0666C78A" w14:textId="77777777" w:rsidR="000F3F22" w:rsidRPr="000F3F22" w:rsidRDefault="000F3F22" w:rsidP="000F3F22">
      <w:pPr>
        <w:numPr>
          <w:ilvl w:val="0"/>
          <w:numId w:val="1"/>
        </w:numPr>
        <w:jc w:val="both"/>
      </w:pPr>
      <w:r w:rsidRPr="000F3F22">
        <w:t xml:space="preserve">Check the indication for the DOAC – ensure this is solely for NVAF.  </w:t>
      </w:r>
    </w:p>
    <w:p w14:paraId="5DE0C6C3" w14:textId="77777777" w:rsidR="000F3F22" w:rsidRPr="000F3F22" w:rsidRDefault="000F3F22" w:rsidP="000F3F22">
      <w:pPr>
        <w:numPr>
          <w:ilvl w:val="0"/>
          <w:numId w:val="1"/>
        </w:numPr>
        <w:jc w:val="both"/>
      </w:pPr>
      <w:r w:rsidRPr="000F3F22">
        <w:t xml:space="preserve">The usual dose of </w:t>
      </w:r>
      <w:proofErr w:type="spellStart"/>
      <w:r w:rsidRPr="000F3F22">
        <w:t>Edoxaban</w:t>
      </w:r>
      <w:proofErr w:type="spellEnd"/>
      <w:r w:rsidRPr="000F3F22">
        <w:t xml:space="preserve"> is 60mg daily. Be aware of the following factors when </w:t>
      </w:r>
      <w:proofErr w:type="spellStart"/>
      <w:r w:rsidRPr="000F3F22">
        <w:t>Edoxaban</w:t>
      </w:r>
      <w:proofErr w:type="spellEnd"/>
      <w:r w:rsidRPr="000F3F22">
        <w:t xml:space="preserve"> requires a reduced dose of 30mg daily.</w:t>
      </w:r>
    </w:p>
    <w:p w14:paraId="13360434" w14:textId="77777777" w:rsidR="000F3F22" w:rsidRPr="000F3F22" w:rsidRDefault="000F3F22" w:rsidP="008648E0">
      <w:pPr>
        <w:numPr>
          <w:ilvl w:val="1"/>
          <w:numId w:val="4"/>
        </w:numPr>
        <w:jc w:val="both"/>
      </w:pPr>
      <w:proofErr w:type="spellStart"/>
      <w:r w:rsidRPr="000F3F22">
        <w:t>CrCl</w:t>
      </w:r>
      <w:proofErr w:type="spellEnd"/>
      <w:r w:rsidRPr="000F3F22">
        <w:t xml:space="preserve"> ≤50ml/min</w:t>
      </w:r>
    </w:p>
    <w:p w14:paraId="1A4BFECF" w14:textId="77777777" w:rsidR="000F3F22" w:rsidRPr="000F3F22" w:rsidRDefault="000F3F22" w:rsidP="008648E0">
      <w:pPr>
        <w:numPr>
          <w:ilvl w:val="1"/>
          <w:numId w:val="4"/>
        </w:numPr>
        <w:jc w:val="both"/>
      </w:pPr>
      <w:r w:rsidRPr="000F3F22">
        <w:t>Weight ≤60kg</w:t>
      </w:r>
    </w:p>
    <w:p w14:paraId="707AFC59" w14:textId="77777777" w:rsidR="000F3F22" w:rsidRPr="000F3F22" w:rsidRDefault="000F3F22" w:rsidP="008648E0">
      <w:pPr>
        <w:numPr>
          <w:ilvl w:val="1"/>
          <w:numId w:val="4"/>
        </w:numPr>
        <w:jc w:val="both"/>
      </w:pPr>
      <w:r w:rsidRPr="000F3F22">
        <w:t>On interacting medication (Ciclosporin, dronedarone, erythromycin, ketoconazole)</w:t>
      </w:r>
    </w:p>
    <w:p w14:paraId="392FE888" w14:textId="77777777" w:rsidR="000F3F22" w:rsidRPr="000F3F22" w:rsidRDefault="000F3F22" w:rsidP="000F3F22">
      <w:pPr>
        <w:numPr>
          <w:ilvl w:val="0"/>
          <w:numId w:val="1"/>
        </w:numPr>
        <w:jc w:val="both"/>
      </w:pPr>
      <w:r w:rsidRPr="000F3F22">
        <w:t xml:space="preserve">Ensure the patient is aware to complete the remainder of the old DOAC before switching to </w:t>
      </w:r>
      <w:proofErr w:type="spellStart"/>
      <w:r w:rsidRPr="000F3F22">
        <w:t>Edoxaban</w:t>
      </w:r>
      <w:proofErr w:type="spellEnd"/>
      <w:r w:rsidRPr="000F3F22">
        <w:t xml:space="preserve">. </w:t>
      </w:r>
    </w:p>
    <w:p w14:paraId="7DF8692B" w14:textId="77777777" w:rsidR="000F3F22" w:rsidRPr="000F3F22" w:rsidRDefault="000F3F22" w:rsidP="000F3F22">
      <w:pPr>
        <w:numPr>
          <w:ilvl w:val="0"/>
          <w:numId w:val="1"/>
        </w:numPr>
        <w:jc w:val="both"/>
      </w:pPr>
      <w:r w:rsidRPr="000F3F22">
        <w:t xml:space="preserve">Details of how to switch alternative DOACs to </w:t>
      </w:r>
      <w:proofErr w:type="spellStart"/>
      <w:r w:rsidRPr="000F3F22">
        <w:t>Edoxaban</w:t>
      </w:r>
      <w:proofErr w:type="spellEnd"/>
      <w:r w:rsidRPr="000F3F22">
        <w:t xml:space="preserve"> is available in the resource pack. </w:t>
      </w:r>
    </w:p>
    <w:p w14:paraId="3DE78690" w14:textId="77777777" w:rsidR="000F3F22" w:rsidRPr="000F3F22" w:rsidRDefault="000F3F22" w:rsidP="000F3F22">
      <w:pPr>
        <w:numPr>
          <w:ilvl w:val="0"/>
          <w:numId w:val="1"/>
        </w:numPr>
        <w:jc w:val="both"/>
      </w:pPr>
      <w:r w:rsidRPr="000F3F22">
        <w:t xml:space="preserve">Provide counselling and safety netting advice, ensure the patient is aware of the Alert Card, what to do / who to contact if they have any concerns, side effects, bleeding etc. </w:t>
      </w:r>
    </w:p>
    <w:p w14:paraId="76222A89" w14:textId="77777777" w:rsidR="000F3F22" w:rsidRPr="000F3F22" w:rsidRDefault="000F3F22" w:rsidP="000F3F22">
      <w:pPr>
        <w:numPr>
          <w:ilvl w:val="0"/>
          <w:numId w:val="1"/>
        </w:numPr>
        <w:jc w:val="both"/>
      </w:pPr>
      <w:r w:rsidRPr="000F3F22">
        <w:t xml:space="preserve">Provide the patient with the Patient Information Leaflet – available in the resource pack. </w:t>
      </w:r>
    </w:p>
    <w:p w14:paraId="17C6BD03" w14:textId="77777777" w:rsidR="000F3F22" w:rsidRPr="000F3F22" w:rsidRDefault="000F3F22" w:rsidP="000F3F22">
      <w:pPr>
        <w:numPr>
          <w:ilvl w:val="0"/>
          <w:numId w:val="1"/>
        </w:numPr>
        <w:jc w:val="both"/>
      </w:pPr>
      <w:r w:rsidRPr="000F3F22">
        <w:t xml:space="preserve">Make an appointment for follow up and monitoring. </w:t>
      </w:r>
    </w:p>
    <w:p w14:paraId="1F6FADD7" w14:textId="77777777" w:rsidR="000F3F22" w:rsidRDefault="000F3F22" w:rsidP="000F3F22">
      <w:pPr>
        <w:jc w:val="both"/>
      </w:pPr>
    </w:p>
    <w:sectPr w:rsidR="000F3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3F89"/>
    <w:multiLevelType w:val="hybridMultilevel"/>
    <w:tmpl w:val="7AE87A04"/>
    <w:lvl w:ilvl="0" w:tplc="91A25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E6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AE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84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03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68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C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EC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9749CE"/>
    <w:multiLevelType w:val="hybridMultilevel"/>
    <w:tmpl w:val="73B8B4E8"/>
    <w:lvl w:ilvl="0" w:tplc="6804C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0E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47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28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42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2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03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C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B11F05"/>
    <w:multiLevelType w:val="hybridMultilevel"/>
    <w:tmpl w:val="55F2B24E"/>
    <w:lvl w:ilvl="0" w:tplc="6804C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0E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47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28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42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2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03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C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F433A9"/>
    <w:multiLevelType w:val="hybridMultilevel"/>
    <w:tmpl w:val="0EE232E8"/>
    <w:lvl w:ilvl="0" w:tplc="6804C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A37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0E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47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28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42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2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03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C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3F22"/>
    <w:rsid w:val="000F3F22"/>
    <w:rsid w:val="00735240"/>
    <w:rsid w:val="008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B808"/>
  <w15:chartTrackingRefBased/>
  <w15:docId w15:val="{75B2E838-B912-408B-81E9-BDB34112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5" ma:contentTypeDescription="Create a new document." ma:contentTypeScope="" ma:versionID="d00cbf42718d9d7fa56ed4a520d56959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0afae65b4438410fa6f26e75b34d8dc9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2A8FF-562E-4542-A49A-91C59DA27242}"/>
</file>

<file path=customXml/itemProps2.xml><?xml version="1.0" encoding="utf-8"?>
<ds:datastoreItem xmlns:ds="http://schemas.openxmlformats.org/officeDocument/2006/customXml" ds:itemID="{F9AAD937-45BB-4ECB-B64C-B2B3CB3B2EFD}"/>
</file>

<file path=customXml/itemProps3.xml><?xml version="1.0" encoding="utf-8"?>
<ds:datastoreItem xmlns:ds="http://schemas.openxmlformats.org/officeDocument/2006/customXml" ds:itemID="{CE20F06E-1617-4548-AE32-861FD5485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CHAND, Rukaiya (NHS BLACKPOOL CCG)</dc:creator>
  <cp:keywords/>
  <dc:description/>
  <cp:lastModifiedBy>CHAND, Rukaiya (NHS BLACKPOOL CCG)</cp:lastModifiedBy>
  <cp:revision>3</cp:revision>
  <dcterms:created xsi:type="dcterms:W3CDTF">2022-06-24T07:32:00Z</dcterms:created>
  <dcterms:modified xsi:type="dcterms:W3CDTF">2022-06-24T07:48:00Z</dcterms:modified>
</cp:coreProperties>
</file>